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0E5BE2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Hesperia </w:t>
      </w:r>
    </w:p>
    <w:p w:rsidR="000E5BE2" w:rsidRDefault="000E5BE2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0E5BE2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0E5BE2" w:rsidRPr="000E5BE2" w:rsidRDefault="000E5BE2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45FBD0B" wp14:editId="764D336E">
            <wp:extent cx="9305925" cy="61722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E5BE2" w:rsidRPr="000E5BE2" w:rsidSect="000E5B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E2"/>
    <w:rsid w:val="000E5BE2"/>
    <w:rsid w:val="00206930"/>
    <w:rsid w:val="0055360C"/>
    <w:rsid w:val="00802976"/>
    <w:rsid w:val="008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0C49-0D73-4D78-8F86-4E64D87B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371 </a:t>
            </a:r>
            <a:r>
              <a:rPr lang="en-US" i="1" baseline="0"/>
              <a:t>Homes Sold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13</c:v>
                </c:pt>
                <c:pt idx="2">
                  <c:v>19</c:v>
                </c:pt>
                <c:pt idx="3">
                  <c:v>37</c:v>
                </c:pt>
                <c:pt idx="4">
                  <c:v>62</c:v>
                </c:pt>
                <c:pt idx="5">
                  <c:v>78</c:v>
                </c:pt>
                <c:pt idx="6">
                  <c:v>60</c:v>
                </c:pt>
                <c:pt idx="7">
                  <c:v>45</c:v>
                </c:pt>
                <c:pt idx="8">
                  <c:v>26</c:v>
                </c:pt>
                <c:pt idx="9">
                  <c:v>11</c:v>
                </c:pt>
                <c:pt idx="10">
                  <c:v>9</c:v>
                </c:pt>
                <c:pt idx="11">
                  <c:v>6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7725072"/>
        <c:axId val="426256304"/>
        <c:axId val="0"/>
      </c:bar3DChart>
      <c:catAx>
        <c:axId val="367725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256304"/>
        <c:crosses val="autoZero"/>
        <c:auto val="1"/>
        <c:lblAlgn val="ctr"/>
        <c:lblOffset val="100"/>
        <c:noMultiLvlLbl val="0"/>
      </c:catAx>
      <c:valAx>
        <c:axId val="426256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772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0.15865</cdr:x>
      <cdr:y>0.12809</cdr:y>
    </cdr:from>
    <cdr:to>
      <cdr:x>0.45445</cdr:x>
      <cdr:y>0.16821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790575"/>
          <a:ext cx="27527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4,000</a:t>
          </a:r>
          <a:r>
            <a:rPr lang="en-US" sz="1100" baseline="0"/>
            <a:t> - Year Built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0.15865</cdr:x>
      <cdr:y>0.18981</cdr:y>
    </cdr:from>
    <cdr:to>
      <cdr:x>0.45548</cdr:x>
      <cdr:y>0.23457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171575"/>
          <a:ext cx="27622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3,428 </a:t>
          </a:r>
          <a:r>
            <a:rPr lang="en-US" sz="1100" baseline="0"/>
            <a:t>- Year Built </a:t>
          </a:r>
          <a:r>
            <a:rPr lang="en-US" sz="1100" b="1" baseline="0"/>
            <a:t>1990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0.15865</cdr:x>
      <cdr:y>0.25463</cdr:y>
    </cdr:from>
    <cdr:to>
      <cdr:x>0.48004</cdr:x>
      <cdr:y>0.29475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571625"/>
          <a:ext cx="29908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3,193 </a:t>
          </a:r>
          <a:r>
            <a:rPr lang="en-US" sz="1100"/>
            <a:t>- Average Year Built </a:t>
          </a:r>
          <a:r>
            <a:rPr lang="en-US" sz="1100" b="1"/>
            <a:t>2006</a:t>
          </a:r>
        </a:p>
      </cdr:txBody>
    </cdr:sp>
  </cdr:relSizeAnchor>
  <cdr:relSizeAnchor xmlns:cdr="http://schemas.openxmlformats.org/drawingml/2006/chartDrawing">
    <cdr:from>
      <cdr:x>0.15967</cdr:x>
      <cdr:y>0.3179</cdr:y>
    </cdr:from>
    <cdr:to>
      <cdr:x>0.50461</cdr:x>
      <cdr:y>0.35957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85900" y="1962150"/>
          <a:ext cx="32099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2,913</a:t>
          </a:r>
          <a:r>
            <a:rPr lang="en-US" sz="1100"/>
            <a:t> - Average</a:t>
          </a:r>
          <a:r>
            <a:rPr lang="en-US" sz="1100" baseline="0"/>
            <a:t> Year Built </a:t>
          </a:r>
          <a:r>
            <a:rPr lang="en-US" sz="1100" b="1" baseline="0"/>
            <a:t>1996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0.15967</cdr:x>
      <cdr:y>0.37963</cdr:y>
    </cdr:from>
    <cdr:to>
      <cdr:x>0.49028</cdr:x>
      <cdr:y>0.4213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343150"/>
          <a:ext cx="3076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2,499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0.15967</cdr:x>
      <cdr:y>0.4429</cdr:y>
    </cdr:from>
    <cdr:to>
      <cdr:x>0.48311</cdr:x>
      <cdr:y>0.48302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733675"/>
          <a:ext cx="3009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2,430</a:t>
          </a:r>
          <a:r>
            <a:rPr lang="en-US" sz="1100"/>
            <a:t> - Average Year Built </a:t>
          </a:r>
          <a:r>
            <a:rPr lang="en-US" sz="1100" b="1"/>
            <a:t>1995</a:t>
          </a:r>
        </a:p>
      </cdr:txBody>
    </cdr:sp>
  </cdr:relSizeAnchor>
  <cdr:relSizeAnchor xmlns:cdr="http://schemas.openxmlformats.org/drawingml/2006/chartDrawing">
    <cdr:from>
      <cdr:x>0.15967</cdr:x>
      <cdr:y>0.50463</cdr:y>
    </cdr:from>
    <cdr:to>
      <cdr:x>0.49437</cdr:x>
      <cdr:y>0.54321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3114675"/>
          <a:ext cx="31146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2,283</a:t>
          </a:r>
          <a:r>
            <a:rPr lang="en-US" sz="1100" b="1" baseline="0"/>
            <a:t> </a:t>
          </a:r>
          <a:r>
            <a:rPr lang="en-US" sz="1100" baseline="0"/>
            <a:t>- Average Year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0.15865</cdr:x>
      <cdr:y>0.5679</cdr:y>
    </cdr:from>
    <cdr:to>
      <cdr:x>0.49949</cdr:x>
      <cdr:y>0.60802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3505200"/>
          <a:ext cx="3171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2,015</a:t>
          </a:r>
          <a:r>
            <a:rPr lang="en-US" sz="1100" b="1" baseline="0"/>
            <a:t> </a:t>
          </a:r>
          <a:r>
            <a:rPr lang="en-US" sz="1100" baseline="0"/>
            <a:t>- Average Year Built </a:t>
          </a:r>
          <a:r>
            <a:rPr lang="en-US" sz="1100" b="1" baseline="0"/>
            <a:t>1994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</cdr:x>
      <cdr:y>0.62809</cdr:y>
    </cdr:from>
    <cdr:to>
      <cdr:x>0.47799</cdr:x>
      <cdr:y>0.6713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95425" y="3876675"/>
          <a:ext cx="29527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1,676</a:t>
          </a:r>
          <a:r>
            <a:rPr lang="en-US" sz="1100" baseline="0"/>
            <a:t> - Average Year Built </a:t>
          </a:r>
          <a:r>
            <a:rPr lang="en-US" sz="1100" b="1" baseline="0"/>
            <a:t>1990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0.15967</cdr:x>
      <cdr:y>0.69136</cdr:y>
    </cdr:from>
    <cdr:to>
      <cdr:x>0.49949</cdr:x>
      <cdr:y>0.73148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267200"/>
          <a:ext cx="31623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1,461 </a:t>
          </a:r>
          <a:r>
            <a:rPr lang="en-US" sz="1100"/>
            <a:t>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0.15967</cdr:x>
      <cdr:y>0.75309</cdr:y>
    </cdr:from>
    <cdr:to>
      <cdr:x>0.50256</cdr:x>
      <cdr:y>0.79321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648200"/>
          <a:ext cx="31908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1,382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1983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0.15967</cdr:x>
      <cdr:y>0.81636</cdr:y>
    </cdr:from>
    <cdr:to>
      <cdr:x>0.51177</cdr:x>
      <cdr:y>0.85957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38725"/>
          <a:ext cx="32766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1,181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1973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0.15967</cdr:x>
      <cdr:y>0.87963</cdr:y>
    </cdr:from>
    <cdr:to>
      <cdr:x>0.48823</cdr:x>
      <cdr:y>0.91975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85900" y="5429250"/>
          <a:ext cx="3057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1,214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1974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0.15967</cdr:x>
      <cdr:y>0.93981</cdr:y>
    </cdr:from>
    <cdr:to>
      <cdr:x>0.51279</cdr:x>
      <cdr:y>0.98765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85900" y="5800725"/>
          <a:ext cx="3286125" cy="2952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1,098</a:t>
          </a:r>
          <a:r>
            <a:rPr lang="en-US" sz="1100"/>
            <a:t> - Average Year Built</a:t>
          </a:r>
          <a:r>
            <a:rPr lang="en-US" sz="1100" baseline="0"/>
            <a:t> </a:t>
          </a:r>
          <a:r>
            <a:rPr lang="en-US" sz="1100" b="1" baseline="0"/>
            <a:t>1973</a:t>
          </a:r>
          <a:endParaRPr lang="en-US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2017-10-23T19:04:00Z</dcterms:created>
  <dcterms:modified xsi:type="dcterms:W3CDTF">2017-10-23T19:48:00Z</dcterms:modified>
</cp:coreProperties>
</file>